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620CFB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东南大学自动化学院</w:t>
      </w:r>
    </w:p>
    <w:p w14:paraId="5898F5B7">
      <w:pPr>
        <w:ind w:left="420" w:leftChars="200" w:firstLine="420" w:firstLineChars="200"/>
        <w:jc w:val="center"/>
      </w:pPr>
    </w:p>
    <w:p w14:paraId="7F17431F">
      <w:pPr>
        <w:jc w:val="center"/>
        <w:outlineLvl w:val="0"/>
        <w:rPr>
          <w:rFonts w:hint="default" w:ascii="楷体_GB2312" w:eastAsia="楷体_GB2312"/>
          <w:b/>
          <w:bCs/>
          <w:sz w:val="52"/>
          <w:lang w:val="en-US" w:eastAsia="zh-CN"/>
        </w:rPr>
      </w:pPr>
      <w:r>
        <w:rPr>
          <w:rFonts w:hint="eastAsia" w:ascii="楷体_GB2312" w:eastAsia="楷体_GB2312"/>
          <w:b/>
          <w:bCs/>
          <w:sz w:val="52"/>
        </w:rPr>
        <w:t>《电机与电力电子技术》</w:t>
      </w:r>
      <w:r>
        <w:rPr>
          <w:rFonts w:hint="eastAsia" w:ascii="楷体_GB2312" w:eastAsia="楷体_GB2312"/>
          <w:b/>
          <w:bCs/>
          <w:sz w:val="52"/>
          <w:lang w:val="en-US" w:eastAsia="zh-CN"/>
        </w:rPr>
        <w:t>实验报告</w:t>
      </w:r>
    </w:p>
    <w:p w14:paraId="3A76EDB4">
      <w:pPr>
        <w:jc w:val="center"/>
        <w:rPr>
          <w:rFonts w:ascii="楷体_GB2312" w:eastAsia="楷体_GB2312"/>
          <w:b/>
          <w:bCs/>
          <w:sz w:val="52"/>
        </w:rPr>
      </w:pPr>
    </w:p>
    <w:p w14:paraId="7F89EC87">
      <w:pPr>
        <w:jc w:val="center"/>
        <w:rPr>
          <w:rFonts w:ascii="楷体_GB2312" w:eastAsia="楷体_GB2312"/>
          <w:sz w:val="52"/>
        </w:rPr>
      </w:pPr>
    </w:p>
    <w:p w14:paraId="6057EFCF">
      <w:pPr>
        <w:jc w:val="center"/>
        <w:rPr>
          <w:rFonts w:hint="eastAsia" w:ascii="楷体_GB2312" w:eastAsia="楷体_GB2312"/>
          <w:sz w:val="52"/>
        </w:rPr>
      </w:pPr>
    </w:p>
    <w:p w14:paraId="6CA53DE8">
      <w:pPr>
        <w:autoSpaceDE w:val="0"/>
        <w:autoSpaceDN w:val="0"/>
        <w:adjustRightInd w:val="0"/>
        <w:jc w:val="center"/>
      </w:pPr>
    </w:p>
    <w:p w14:paraId="1A44F14F">
      <w:pPr>
        <w:autoSpaceDE w:val="0"/>
        <w:autoSpaceDN w:val="0"/>
        <w:adjustRightInd w:val="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val="en-US" w:eastAsia="zh-CN"/>
        </w:rPr>
        <w:t>实验</w:t>
      </w:r>
      <w:r>
        <w:rPr>
          <w:rFonts w:hint="eastAsia"/>
          <w:b/>
          <w:bCs/>
          <w:sz w:val="30"/>
        </w:rPr>
        <w:t>次数：第</w:t>
      </w:r>
      <w:r>
        <w:rPr>
          <w:rFonts w:hint="eastAsia"/>
          <w:b/>
          <w:bCs/>
          <w:sz w:val="30"/>
          <w:lang w:val="en-US" w:eastAsia="zh-CN"/>
        </w:rPr>
        <w:t>4</w:t>
      </w:r>
      <w:r>
        <w:rPr>
          <w:rFonts w:hint="eastAsia"/>
          <w:b/>
          <w:bCs/>
          <w:sz w:val="30"/>
        </w:rPr>
        <w:t>次</w:t>
      </w:r>
    </w:p>
    <w:p w14:paraId="61EA1945">
      <w:pPr>
        <w:ind w:left="420" w:leftChars="200" w:firstLine="420" w:firstLineChars="200"/>
        <w:jc w:val="center"/>
      </w:pPr>
    </w:p>
    <w:p w14:paraId="6CD86765">
      <w:pPr>
        <w:ind w:left="420" w:leftChars="200" w:firstLine="420" w:firstLineChars="200"/>
        <w:jc w:val="center"/>
      </w:pPr>
    </w:p>
    <w:p w14:paraId="45038D25">
      <w:pPr>
        <w:ind w:left="420" w:leftChars="200" w:firstLine="420" w:firstLineChars="200"/>
        <w:jc w:val="center"/>
      </w:pPr>
    </w:p>
    <w:p w14:paraId="344A9D3C">
      <w:pPr>
        <w:ind w:left="420" w:leftChars="200" w:firstLine="420" w:firstLineChars="200"/>
        <w:jc w:val="center"/>
      </w:pPr>
    </w:p>
    <w:p w14:paraId="2D7EC3A4">
      <w:pPr>
        <w:ind w:left="420" w:leftChars="200" w:firstLine="420" w:firstLineChars="200"/>
        <w:jc w:val="center"/>
      </w:pPr>
    </w:p>
    <w:p w14:paraId="732430EF">
      <w:pPr>
        <w:jc w:val="center"/>
        <w:rPr>
          <w:sz w:val="28"/>
          <w:szCs w:val="28"/>
          <w:u w:val="single"/>
        </w:rPr>
      </w:pPr>
    </w:p>
    <w:p w14:paraId="4E76302B">
      <w:pPr>
        <w:jc w:val="center"/>
        <w:rPr>
          <w:sz w:val="28"/>
          <w:szCs w:val="28"/>
          <w:u w:val="single"/>
        </w:rPr>
      </w:pPr>
    </w:p>
    <w:p w14:paraId="2722B877">
      <w:pPr>
        <w:jc w:val="center"/>
        <w:rPr>
          <w:sz w:val="28"/>
          <w:szCs w:val="28"/>
          <w:u w:val="single"/>
        </w:rPr>
      </w:pPr>
    </w:p>
    <w:p w14:paraId="6F58F70B">
      <w:pPr>
        <w:jc w:val="center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</w:rPr>
        <w:t>姓    名</w:t>
      </w:r>
      <w:r>
        <w:rPr>
          <w:rFonts w:hint="eastAsia"/>
          <w:b/>
          <w:sz w:val="28"/>
          <w:szCs w:val="28"/>
          <w:lang w:eastAsia="zh-CN"/>
        </w:rPr>
        <w:t>：</w:t>
      </w:r>
      <w:r>
        <w:rPr>
          <w:rFonts w:hint="eastAsia"/>
          <w:b/>
          <w:sz w:val="28"/>
          <w:szCs w:val="28"/>
          <w:lang w:val="en-US" w:eastAsia="zh-CN"/>
        </w:rPr>
        <w:t>陈鲲龙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lang w:val="en-US" w:eastAsia="zh-CN"/>
        </w:rPr>
        <w:tab/>
      </w:r>
      <w:r>
        <w:rPr>
          <w:rFonts w:hint="eastAsia"/>
          <w:b/>
          <w:sz w:val="28"/>
          <w:szCs w:val="28"/>
          <w:lang w:val="en-US" w:eastAsia="zh-CN"/>
        </w:rPr>
        <w:tab/>
      </w: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lang w:val="en-US" w:eastAsia="zh-CN"/>
        </w:rPr>
        <w:t>08022311</w:t>
      </w:r>
    </w:p>
    <w:p w14:paraId="1570BC0D">
      <w:pPr>
        <w:jc w:val="center"/>
        <w:rPr>
          <w:rFonts w:hint="eastAsia"/>
          <w:b/>
          <w:sz w:val="28"/>
          <w:szCs w:val="28"/>
          <w:lang w:val="en-US" w:eastAsia="zh-CN"/>
        </w:rPr>
      </w:pPr>
    </w:p>
    <w:p w14:paraId="0829897A">
      <w:pPr>
        <w:jc w:val="center"/>
        <w:rPr>
          <w:rFonts w:hint="eastAsia"/>
          <w:b/>
          <w:sz w:val="28"/>
          <w:szCs w:val="28"/>
          <w:lang w:val="en-US" w:eastAsia="zh-CN"/>
        </w:rPr>
      </w:pPr>
    </w:p>
    <w:p w14:paraId="7793E9C9">
      <w:pPr>
        <w:rPr>
          <w:rFonts w:hint="eastAsia"/>
          <w:b/>
          <w:sz w:val="28"/>
          <w:szCs w:val="28"/>
          <w:lang w:val="en-US" w:eastAsia="zh-CN"/>
        </w:rPr>
      </w:pPr>
    </w:p>
    <w:p w14:paraId="70291198"/>
    <w:p w14:paraId="508F6BD1"/>
    <w:p w14:paraId="762BB288"/>
    <w:p w14:paraId="18482A2D"/>
    <w:p w14:paraId="55DB3C0A"/>
    <w:p w14:paraId="28BFD5BA"/>
    <w:p w14:paraId="20A7EF96"/>
    <w:p w14:paraId="1B61A2DB">
      <w:pPr>
        <w:numPr>
          <w:ilvl w:val="0"/>
          <w:numId w:val="1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实验目的</w:t>
      </w:r>
    </w:p>
    <w:p w14:paraId="543DC0F8"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实现直流电机的启动与停止，理解其降压启动步骤应为先励磁回路上电再电机电枢回路上电，随后减小电机电枢回路滑动变阻器阻值，而停转时应先电机电枢回路断电再励磁回路断电。</w:t>
      </w:r>
    </w:p>
    <w:p w14:paraId="31B18AC5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二、完成情况</w:t>
      </w:r>
    </w:p>
    <w:p w14:paraId="546F4F99"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原理图：</w:t>
      </w:r>
    </w:p>
    <w:p w14:paraId="62C81EF3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接触器KM1控制电机电枢回路，接触器KM2控制励磁回路，两者并联于110V</w:t>
      </w:r>
    </w:p>
    <w:p w14:paraId="29D8EEC8">
      <w:pPr>
        <w:jc w:val="center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4869180" cy="3201035"/>
            <wp:effectExtent l="0" t="0" r="7620" b="12065"/>
            <wp:docPr id="1" name="图片 1" descr="e1082c787473ce87d3bcdc88ec9d8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1082c787473ce87d3bcdc88ec9d88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E720">
      <w:pPr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电器原理图：</w:t>
      </w:r>
    </w:p>
    <w:p w14:paraId="4B988F42">
      <w:pPr>
        <w:jc w:val="left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13685" cy="2301240"/>
            <wp:effectExtent l="0" t="0" r="5715" b="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A953B4"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实际接线：</w:t>
      </w:r>
    </w:p>
    <w:p w14:paraId="0D41CD48">
      <w:pPr>
        <w:jc w:val="center"/>
      </w:pPr>
      <w:r>
        <w:drawing>
          <wp:inline distT="0" distB="0" distL="114300" distR="114300">
            <wp:extent cx="4552950" cy="3442335"/>
            <wp:effectExtent l="0" t="0" r="635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46E3">
      <w:pPr>
        <w:jc w:val="center"/>
      </w:pPr>
      <w:r>
        <w:drawing>
          <wp:inline distT="0" distB="0" distL="114300" distR="114300">
            <wp:extent cx="5269230" cy="3913505"/>
            <wp:effectExtent l="0" t="0" r="1270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F7E0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电机：</w:t>
      </w:r>
    </w:p>
    <w:p w14:paraId="1D3E1DD6">
      <w:pPr>
        <w:jc w:val="center"/>
      </w:pPr>
      <w:r>
        <w:drawing>
          <wp:inline distT="0" distB="0" distL="114300" distR="114300">
            <wp:extent cx="3317875" cy="4601210"/>
            <wp:effectExtent l="0" t="0" r="952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EA01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转速&amp;电流：</w:t>
      </w:r>
    </w:p>
    <w:p w14:paraId="51BD0DF7">
      <w:pPr>
        <w:jc w:val="center"/>
      </w:pPr>
      <w:r>
        <w:drawing>
          <wp:inline distT="0" distB="0" distL="114300" distR="114300">
            <wp:extent cx="3513455" cy="5308600"/>
            <wp:effectExtent l="0" t="0" r="444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8DD5">
      <w:pPr>
        <w:rPr>
          <w:rFonts w:hint="default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记录峰值转速为1594，峰值电流为2A，n/I=797。</w:t>
      </w:r>
    </w:p>
    <w:p w14:paraId="2354DE36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实验步骤：</w:t>
      </w:r>
    </w:p>
    <w:p w14:paraId="6FE2746E">
      <w:pPr>
        <w:jc w:val="center"/>
      </w:pPr>
      <w:r>
        <w:drawing>
          <wp:inline distT="0" distB="0" distL="114300" distR="114300">
            <wp:extent cx="5054600" cy="2927350"/>
            <wp:effectExtent l="0" t="0" r="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CF70">
      <w:pPr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启动时先将滑动变阻器调到最大</w:t>
      </w:r>
    </w:p>
    <w:p w14:paraId="23B9CFB5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先关断接触器KM2让励磁回路上电</w:t>
      </w:r>
    </w:p>
    <w:p w14:paraId="0FF001FF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再关断接触器KM1让电机电枢回路上电</w:t>
      </w:r>
    </w:p>
    <w:p w14:paraId="51F8B8AA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逐渐降低滑动变阻器Rd阻值，电机起转，并转速升高</w:t>
      </w:r>
    </w:p>
    <w:p w14:paraId="72845D3B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停转时先关断电机电枢回路</w:t>
      </w:r>
    </w:p>
    <w:p w14:paraId="683F8C52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后关断励磁回路</w:t>
      </w:r>
    </w:p>
    <w:p w14:paraId="7899E131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21254093"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三、资料查找</w:t>
      </w:r>
    </w:p>
    <w:p w14:paraId="2C6C4537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06015" cy="5210810"/>
            <wp:effectExtent l="0" t="0" r="8890" b="698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l="14386" r="240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06015" cy="521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0708E4">
      <w:pP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TCA785：</w:t>
      </w:r>
    </w:p>
    <w:p w14:paraId="442774E9">
      <w:pPr>
        <w:pStyle w:val="2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TCA785是一款相位控制集成电路，主要用于控制晶闸管、三端双向可控硅(TRIAC)和晶体管。它能够提供在0°至180°范围内可调节的相位角触发脉冲，适用于转换器电路、交流控制器和三相电流控制器等应用。TCA785采用双列直插式16引脚(DIP-16)封装，以下是其引脚图及各引脚的功能：</w:t>
      </w:r>
    </w:p>
    <w:p w14:paraId="55F15EE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 (OS)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：接地端，与直流电源VS、同步电压VSYNC及移相控制信号V11的地端相连接。</w:t>
      </w:r>
    </w:p>
    <w:p w14:paraId="025258C3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引脚2 (Q2)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 和 </w:t>
      </w: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引脚4 (Q1)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：输出脉冲1与2的非端，可输出宽度变化的脉冲信号，相位互差180°，脉冲宽度受非脉冲宽度控制端引脚13(L)的控制。</w:t>
      </w:r>
    </w:p>
    <w:p w14:paraId="60BCF75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引脚5 (VSYNC)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：同步电压输入端，用于获取同步信号。</w:t>
      </w:r>
    </w:p>
    <w:p w14:paraId="36FBD6B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引脚6 (I)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：禁止输出端，可以用于禁用输出。</w:t>
      </w:r>
    </w:p>
    <w:p w14:paraId="5738966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引脚7 (QZ)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：输出逻辑脉冲信号端，为Q1与Q2的或信号，窄脉冲信号。</w:t>
      </w:r>
    </w:p>
    <w:p w14:paraId="479E5E6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引脚8 (VREF)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：高稳定基准电压输出端，负载能力为驱动10块CMOS集成电路。</w:t>
      </w:r>
    </w:p>
    <w:p w14:paraId="6AC63F7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引脚9 (R9)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：锯齿波电阻连接端，决定C10的充电电流。</w:t>
      </w:r>
    </w:p>
    <w:p w14:paraId="1CE3789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引脚10 (C10)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：外接锯齿波电容连接端，与R9一起决定锯齿波的斜率。</w:t>
      </w:r>
    </w:p>
    <w:p w14:paraId="62E927D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引脚11 (V11)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：移相控制直流电压输入端，用于控制输出脉冲的相位。</w:t>
      </w:r>
    </w:p>
    <w:p w14:paraId="027E27E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引脚12 (C12)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：输出Q1、Q2脉宽控制端，通过一电容接地，控制输出脉冲的宽度。</w:t>
      </w:r>
    </w:p>
    <w:p w14:paraId="2CDEA8C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引脚13 (L)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：非输出脉冲宽度控制端，允许施加电平的范围为-0.5V~VS，控制Q1、Q2的脉冲宽度。</w:t>
      </w:r>
    </w:p>
    <w:p w14:paraId="5AF314D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cs="Times New Roman"/>
          <w:spacing w:val="3"/>
          <w:sz w:val="21"/>
          <w:szCs w:val="21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引脚14 (Q1)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 和 </w:t>
      </w: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引脚15 (Q2)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：输出脉冲1和2端，也可输出宽度变化的脉冲，相位互差180°，脉冲宽度受C12的控制。</w:t>
      </w:r>
    </w:p>
    <w:p w14:paraId="0326191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Style w:val="6"/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引脚16 (VS)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：电源端，直接连接工作电源正端。</w:t>
      </w:r>
    </w:p>
    <w:p w14:paraId="578CBA9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7650" cy="7757795"/>
            <wp:effectExtent l="0" t="0" r="6350" b="1905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775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4BD7A9">
      <w:pPr>
        <w:rPr>
          <w:rFonts w:ascii="宋体" w:hAnsi="宋体" w:eastAsia="宋体" w:cs="宋体"/>
          <w:sz w:val="24"/>
          <w:szCs w:val="24"/>
        </w:rPr>
      </w:pPr>
    </w:p>
    <w:p w14:paraId="29D2AC6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7444740"/>
            <wp:effectExtent l="0" t="0" r="2540" b="10160"/>
            <wp:docPr id="1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4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0991FE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452E9E09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0F82D719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4BE6625D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337F81DF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48475F10"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 w14:paraId="20CC691C">
      <w:pP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ULN2003</w:t>
      </w:r>
    </w:p>
    <w:p w14:paraId="27FB2A0E">
      <w:pP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ULN2003是高耐压、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"https://baike.baidu.com/item/%E5%A4%A7%E7%94%B5%E6%B5%81/5467824?fromModule=lemma_inlink"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大电流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复合晶体管阵列，由七个硅NPN 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"https://baike.baidu.com/item/%E5%A4%8D%E5%90%88%E6%99%B6%E4%BD%93%E7%AE%A1/8881496?fromModule=lemma_inlink"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复合晶体管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组成，每一对达林顿都串联一个2.7K 的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"https://baike.baidu.com/item/%E5%9F%BA%E6%9E%81/763327?fromModule=lemma_inlink"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基极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电阻，在5V 的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"https://baike.baidu.com/item/%E5%B7%A5%E4%BD%9C%E7%94%B5%E5%8E%8B/10983510?fromModule=lemma_inlink"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工作电压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下它能与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"https://baike.baidu.com/item/TTL/13973249?fromModule=lemma_inlink"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TTL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 和CMOS 电路直接相连，可以直接处理原先需要标准逻辑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"https://baike.baidu.com/item/%E7%BC%93%E5%86%B2%E5%99%A8/3697522?fromModule=lemma_inlink" \t "https://baike.baidu.com/item/ULN2003/_blank" </w:instrTex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缓冲器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来处理的数据。</w:t>
      </w:r>
    </w:p>
    <w:p w14:paraId="70049BF1">
      <w:pP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ULN2003内部还集成了一个消线圈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"https://baike.baidu.com/item/%E5%8F%8D%E7%94%B5%E5%8A%A8%E5%8A%BF/4393554?fromModule=lemma_inlink"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反电动势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的二极管，可用来驱动继电器。它是双列16脚封装,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"https://baike.baidu.com/item/NPN%E6%99%B6%E4%BD%93%E7%AE%A1/12789567?fromModule=lemma_inlink"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NPN晶体管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矩阵,最大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"https://baike.baidu.com/item/%E9%A9%B1%E5%8A%A8%E7%94%B5%E5%8E%8B/54625241?fromModule=lemma_inlink"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驱动电压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=50V,电流=500mA,输入电压=5V,适用于TTL COMS,由达林顿管组成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"https://baike.baidu.com/item/%E9%A9%B1%E5%8A%A8%E7%94%B5%E8%B7%AF/2804607?fromModule=lemma_inlink"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驱动电路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。 ULN是集成达林顿管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"https://baike.baidu.com/item/IC/4950052?fromModule=lemma_inlink"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IC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,内部还集成了一个消线圈反电动势的二极管,它的输出端允许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"https://baike.baidu.com/item/%E9%80%9A%E8%BF%87%E7%94%B5%E6%B5%81/56282768?fromModule=lemma_inlink"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通过电流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为200mA，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"https://baike.baidu.com/item/%E9%A5%B1%E5%92%8C%E5%8E%8B%E9%99%8D/24308371?fromModule=lemma_inlink"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饱和压降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VCE 约1V左右，耐压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"https://baike.baidu.com/item/BV/8538304?fromModule=lemma_inlink"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BV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CEO 约为36V。用户输出口的外接负载可根据以上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"https://baike.baidu.com/item/%E5%8F%82%E6%95%B0%E4%BC%B0%E7%AE%97/19480839?fromModule=lemma_inlink"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参数估算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。采用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"https://baike.baidu.com/item/%E9%9B%86%E7%94%B5%E6%9E%81%E5%BC%80%E8%B7%AF/3040606?fromModule=lemma_inlink"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集电极开路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输出，输出电流大，故可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"https://baike.baidu.com/item/%E7%9B%B4%E6%8E%A5%E9%A9%B1%E5%8A%A8/56544839?fromModule=lemma_inlink"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直接驱动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继电器或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"https://baike.baidu.com/item/%E5%9B%BA%E4%BD%93%E7%BB%A7%E7%94%B5%E5%99%A8/8488076?fromModule=lemma_inlink"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固体继电器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，也可直接驱动低压灯泡。通常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"https://baike.baidu.com/item/%E5%8D%95%E7%89%87%E6%9C%BA/102396?fromModule=lemma_inlink" \t "https://baike.baidu.com/item/ULN2003/_blank"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t>单片机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驱动ULN2003时，上拉2K的电阻较为合适，同时，COM引脚应该悬空或接电源。</w:t>
      </w:r>
    </w:p>
    <w:p w14:paraId="1F57C089">
      <w:pP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43225" cy="2143125"/>
            <wp:effectExtent l="0" t="0" r="3175" b="317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4F229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 w:line="240" w:lineRule="auto"/>
        <w:textAlignment w:val="auto"/>
        <w:rPr>
          <w:rFonts w:hint="default" w:ascii="Times New Roman" w:hAnsi="Times New Roman" w:eastAsia="helvetica" w:cs="Times New Roman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1150" cy="6981825"/>
            <wp:effectExtent l="0" t="0" r="6350" b="3175"/>
            <wp:docPr id="1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72125" cy="7077075"/>
            <wp:effectExtent l="0" t="0" r="3175" b="9525"/>
            <wp:docPr id="1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249340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7BBFAE7">
      <w:pPr>
        <w:rPr>
          <w:rFonts w:ascii="宋体" w:hAnsi="宋体" w:eastAsia="宋体" w:cs="宋体"/>
          <w:sz w:val="24"/>
          <w:szCs w:val="24"/>
        </w:rPr>
      </w:pPr>
    </w:p>
    <w:p w14:paraId="69070DA2">
      <w:pPr>
        <w:rPr>
          <w:rFonts w:ascii="宋体" w:hAnsi="宋体" w:eastAsia="宋体" w:cs="宋体"/>
          <w:sz w:val="24"/>
          <w:szCs w:val="24"/>
        </w:rPr>
      </w:pPr>
    </w:p>
    <w:p w14:paraId="45D26223">
      <w:pPr>
        <w:rPr>
          <w:rFonts w:ascii="宋体" w:hAnsi="宋体" w:eastAsia="宋体" w:cs="宋体"/>
          <w:sz w:val="24"/>
          <w:szCs w:val="24"/>
        </w:rPr>
      </w:pPr>
    </w:p>
    <w:p w14:paraId="3F6A4D63">
      <w:pPr>
        <w:rPr>
          <w:rFonts w:ascii="宋体" w:hAnsi="宋体" w:eastAsia="宋体" w:cs="宋体"/>
          <w:sz w:val="24"/>
          <w:szCs w:val="24"/>
        </w:rPr>
      </w:pPr>
    </w:p>
    <w:p w14:paraId="544ECC36">
      <w:pPr>
        <w:rPr>
          <w:rFonts w:ascii="宋体" w:hAnsi="宋体" w:eastAsia="宋体" w:cs="宋体"/>
          <w:sz w:val="24"/>
          <w:szCs w:val="24"/>
        </w:rPr>
      </w:pPr>
    </w:p>
    <w:p w14:paraId="5A5CB2B3">
      <w:pPr>
        <w:rPr>
          <w:rFonts w:ascii="宋体" w:hAnsi="宋体" w:eastAsia="宋体" w:cs="宋体"/>
          <w:sz w:val="24"/>
          <w:szCs w:val="24"/>
        </w:rPr>
      </w:pPr>
    </w:p>
    <w:p w14:paraId="571F1A66">
      <w:pPr>
        <w:rPr>
          <w:rFonts w:ascii="宋体" w:hAnsi="宋体" w:eastAsia="宋体" w:cs="宋体"/>
          <w:sz w:val="24"/>
          <w:szCs w:val="24"/>
        </w:rPr>
      </w:pPr>
    </w:p>
    <w:p w14:paraId="32F15268">
      <w:p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关于直流电压110、220、440V的来源——</w:t>
      </w:r>
      <w:bookmarkStart w:id="0" w:name="_GoBack"/>
      <w:bookmarkEnd w:id="0"/>
      <w:r>
        <w:rPr>
          <w:rFonts w:hint="eastAsia"/>
          <w:lang w:val="en-US" w:eastAsia="zh-CN"/>
        </w:rPr>
        <w:t>出自于国标GB156-59</w:t>
      </w:r>
    </w:p>
    <w:p w14:paraId="6F18B8FF"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4781550"/>
            <wp:effectExtent l="0" t="0" r="889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767680"/>
    <w:multiLevelType w:val="singleLevel"/>
    <w:tmpl w:val="B87676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E56EB37"/>
    <w:multiLevelType w:val="multilevel"/>
    <w:tmpl w:val="1E56EB3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A27350"/>
    <w:rsid w:val="045A0973"/>
    <w:rsid w:val="06A27350"/>
    <w:rsid w:val="08570A06"/>
    <w:rsid w:val="127B07D4"/>
    <w:rsid w:val="12C80CC3"/>
    <w:rsid w:val="271E64C8"/>
    <w:rsid w:val="2DD66A2E"/>
    <w:rsid w:val="33E3063C"/>
    <w:rsid w:val="35432F36"/>
    <w:rsid w:val="37F92887"/>
    <w:rsid w:val="4AC20E53"/>
    <w:rsid w:val="54085ED4"/>
    <w:rsid w:val="56BD6564"/>
    <w:rsid w:val="57B711D1"/>
    <w:rsid w:val="5B3D38D7"/>
    <w:rsid w:val="5F8F39F5"/>
    <w:rsid w:val="6B7A618C"/>
    <w:rsid w:val="6C5E30BF"/>
    <w:rsid w:val="6ED6541C"/>
    <w:rsid w:val="6FA34A77"/>
    <w:rsid w:val="7AD464FC"/>
    <w:rsid w:val="7B90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1170</Words>
  <Characters>1407</Characters>
  <Lines>0</Lines>
  <Paragraphs>0</Paragraphs>
  <TotalTime>1</TotalTime>
  <ScaleCrop>false</ScaleCrop>
  <LinksUpToDate>false</LinksUpToDate>
  <CharactersWithSpaces>1446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2024-12-06T03:55:00Z</dcterms:created>
  <dc:creator>浩</dc:creator>
  <cp:lastModifiedBy>陳魚日匕匕龍(-᷅_-᷄)</cp:lastModifiedBy>
  <dcterms:modified xsi:type="dcterms:W3CDTF">2024-12-12T11:15:19Z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67F6E4A4E75C4ACE8871079C6B30A944_11</vt:lpwstr>
  </property>
</Properties>
</file>